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4F" w:rsidRDefault="00632138" w:rsidP="00632138">
      <w:pPr>
        <w:pStyle w:val="Overskrift1"/>
        <w:rPr>
          <w:lang w:val="nn-NO"/>
        </w:rPr>
      </w:pPr>
      <w:r w:rsidRPr="00632138">
        <w:rPr>
          <w:lang w:val="nn-NO"/>
        </w:rPr>
        <w:t>Heving av medlemskontingenten i Espedalen sti- og løypela</w:t>
      </w:r>
      <w:r>
        <w:rPr>
          <w:lang w:val="nn-NO"/>
        </w:rPr>
        <w:t>g</w:t>
      </w:r>
    </w:p>
    <w:p w:rsidR="00632138" w:rsidRDefault="00632138" w:rsidP="00632138">
      <w:pPr>
        <w:rPr>
          <w:lang w:val="nn-NO"/>
        </w:rPr>
      </w:pPr>
    </w:p>
    <w:p w:rsidR="00632138" w:rsidRPr="00632138" w:rsidRDefault="00632138" w:rsidP="00632138">
      <w:pPr>
        <w:rPr>
          <w:b/>
        </w:rPr>
      </w:pPr>
      <w:r w:rsidRPr="00632138">
        <w:rPr>
          <w:b/>
        </w:rPr>
        <w:t xml:space="preserve">Styret i Espedalen sti- og løypelag foreslår å heve medlemskontingenten fra nåværende kr. 1 000 per husstand til kr. 1 500 per husstand </w:t>
      </w:r>
      <w:r w:rsidR="003E6793">
        <w:rPr>
          <w:b/>
        </w:rPr>
        <w:t xml:space="preserve">per år, </w:t>
      </w:r>
      <w:r w:rsidRPr="00632138">
        <w:rPr>
          <w:b/>
        </w:rPr>
        <w:t>fra 2025.</w:t>
      </w:r>
    </w:p>
    <w:p w:rsidR="00632138" w:rsidRDefault="00632138" w:rsidP="00632138">
      <w:pPr>
        <w:rPr>
          <w:b/>
        </w:rPr>
      </w:pPr>
    </w:p>
    <w:p w:rsidR="00632138" w:rsidRDefault="00632138" w:rsidP="00632138">
      <w:pPr>
        <w:rPr>
          <w:b/>
        </w:rPr>
      </w:pPr>
    </w:p>
    <w:p w:rsidR="00632138" w:rsidRDefault="00632138" w:rsidP="00632138">
      <w:pPr>
        <w:rPr>
          <w:b/>
        </w:rPr>
      </w:pPr>
      <w:proofErr w:type="spellStart"/>
      <w:r w:rsidRPr="005909EC">
        <w:rPr>
          <w:b/>
        </w:rPr>
        <w:t>Bakgrunn</w:t>
      </w:r>
      <w:proofErr w:type="spellEnd"/>
      <w:r w:rsidRPr="005909EC">
        <w:rPr>
          <w:b/>
        </w:rPr>
        <w:t xml:space="preserve"> for forslaget:</w:t>
      </w:r>
    </w:p>
    <w:p w:rsidR="00D16652" w:rsidRDefault="00AB649F" w:rsidP="00304E85">
      <w:r>
        <w:t xml:space="preserve">ESLL sender ut oppfordring til medlemskap til </w:t>
      </w:r>
      <w:proofErr w:type="spellStart"/>
      <w:r>
        <w:t>ca</w:t>
      </w:r>
      <w:proofErr w:type="spellEnd"/>
      <w:r>
        <w:t xml:space="preserve"> 220 hus/hytteeiendommer i Espedalen. </w:t>
      </w:r>
      <w:r w:rsidR="00304E85">
        <w:t>Kontingenten for medlemskap i ESLL har vært den samme siden 2019. Det har i denne perioden vært en betydelig prisstigning på alle områder</w:t>
      </w:r>
      <w:r w:rsidR="00D212B7">
        <w:t>, og vi må regne med at det fortsetter.</w:t>
      </w:r>
      <w:r w:rsidR="00304E85">
        <w:t xml:space="preserve"> (</w:t>
      </w:r>
      <w:r w:rsidR="00D212B7">
        <w:t>Konsumprisindeksen</w:t>
      </w:r>
      <w:r w:rsidR="00304E85">
        <w:t xml:space="preserve"> økte med 19,1 % fra 2019 til januar 2024). </w:t>
      </w:r>
    </w:p>
    <w:p w:rsidR="00D16652" w:rsidRDefault="00D16652" w:rsidP="00304E85">
      <w:bookmarkStart w:id="0" w:name="_GoBack"/>
      <w:bookmarkEnd w:id="0"/>
    </w:p>
    <w:p w:rsidR="003E6793" w:rsidRDefault="00304E85" w:rsidP="00304E85">
      <w:r>
        <w:t xml:space="preserve">Kostnadene for løypekjøring var i 2023 på kr. 220 563. De høye kostnadene skyldtes til dels krevende forhold med mye snø og rydding av trær i løypene, men også en lang sesong med fin og stabil vinter. ESLL var i det store og hele fornøyd med løypekvaliteten i 2023. Kostnadene kommer til uttrykk gjennom årsresultatet, som var minus kr. 46 415. Løypekjøringen i 2023 kunne bare finansieres fordi lite snø ga lave kostnader i 2022. Når vi nå igjen har en snørik vinter, har vi ikke den samme bufferen som i fjor. </w:t>
      </w:r>
    </w:p>
    <w:p w:rsidR="00BE0B5B" w:rsidRDefault="00BE0B5B" w:rsidP="00304E85"/>
    <w:p w:rsidR="00AB649F" w:rsidRDefault="003E6793" w:rsidP="00AB649F">
      <w:r>
        <w:t xml:space="preserve">Det er en stor utfordring at medlemstallet i ESLL ikke har økt de siste årene. Tvert imot var antallet medlemmer, og dermed </w:t>
      </w:r>
      <w:r w:rsidR="00AB649F">
        <w:t>innbetaling fra medlemmer</w:t>
      </w:r>
      <w:r>
        <w:t xml:space="preserve">, </w:t>
      </w:r>
      <w:r w:rsidR="00AB649F">
        <w:t>noe</w:t>
      </w:r>
      <w:r>
        <w:t xml:space="preserve"> høyere i 2020 og 2021. </w:t>
      </w:r>
      <w:r w:rsidR="00AB649F">
        <w:t>(</w:t>
      </w:r>
      <w:proofErr w:type="gramStart"/>
      <w:r w:rsidR="00AB649F">
        <w:t>se</w:t>
      </w:r>
      <w:proofErr w:type="gramEnd"/>
      <w:r w:rsidR="00AB649F">
        <w:t xml:space="preserve"> tabell nedenfor). </w:t>
      </w:r>
    </w:p>
    <w:p w:rsidR="00AB649F" w:rsidRDefault="00AB649F" w:rsidP="00AB649F"/>
    <w:p w:rsidR="00AB649F" w:rsidRDefault="00AB649F" w:rsidP="00AB649F">
      <w:r w:rsidRPr="005909EC">
        <w:t xml:space="preserve">En betydelig økning av inntektene er </w:t>
      </w:r>
      <w:r>
        <w:t xml:space="preserve">likevel </w:t>
      </w:r>
      <w:r w:rsidRPr="005909EC">
        <w:t xml:space="preserve">nødvendig for </w:t>
      </w:r>
      <w:r>
        <w:t xml:space="preserve">å holde løyper av en </w:t>
      </w:r>
      <w:r w:rsidRPr="005909EC">
        <w:t>standard</w:t>
      </w:r>
      <w:r>
        <w:t xml:space="preserve"> som er nødvendig for at brukerne av løypene skal kunne stole på at disse er oppkjørt når de er på hytta om vinteren. Styret ser det derfor som nødvendig å øke kontingenten. </w:t>
      </w:r>
    </w:p>
    <w:p w:rsidR="00AB649F" w:rsidRDefault="00AB649F" w:rsidP="00304E85"/>
    <w:p w:rsidR="00304E85" w:rsidRDefault="00304E85" w:rsidP="00304E85"/>
    <w:p w:rsidR="00304E85" w:rsidRDefault="00304E85" w:rsidP="00632138">
      <w:pPr>
        <w:rPr>
          <w:b/>
        </w:rPr>
      </w:pPr>
      <w:proofErr w:type="spellStart"/>
      <w:r>
        <w:rPr>
          <w:b/>
        </w:rPr>
        <w:t>ESSLs</w:t>
      </w:r>
      <w:proofErr w:type="spellEnd"/>
      <w:r>
        <w:rPr>
          <w:b/>
        </w:rPr>
        <w:t xml:space="preserve"> område for løypekjøring</w:t>
      </w:r>
    </w:p>
    <w:p w:rsidR="00304E85" w:rsidRDefault="00095A1A" w:rsidP="00095A1A">
      <w:r>
        <w:t xml:space="preserve">Før årtusenskiftet var det turistbedriftene som betalte for løypekjøringen i Espedalen. Nå er situasjonen endret, slik at det er hytteeiere som betaler hoveddelen av kostnadene. </w:t>
      </w:r>
      <w:r w:rsidR="00304E85">
        <w:t>De aller fleste hyttene som ligger på hyttefelt betaler gjennom velforeninger. Espedalen sti- og løypelag har ansvar for løype</w:t>
      </w:r>
      <w:r w:rsidR="00AB649F">
        <w:t>r</w:t>
      </w:r>
      <w:r w:rsidR="00304E85">
        <w:t xml:space="preserve"> i et område avgrenset av Dalen gård i sør, og Espedalen </w:t>
      </w:r>
      <w:r w:rsidR="00BE0B5B">
        <w:t>Gjestehus i nord.</w:t>
      </w:r>
      <w:r w:rsidR="00D212B7">
        <w:t xml:space="preserve"> Dette er et komplekst løypenettverk i krevende skogsterreng.</w:t>
      </w:r>
      <w:r w:rsidR="00BE0B5B">
        <w:t xml:space="preserve"> I dette området finnes det bare en velforening</w:t>
      </w:r>
      <w:r w:rsidR="00304E85">
        <w:t xml:space="preserve"> som bidrar til løypekjør</w:t>
      </w:r>
      <w:r w:rsidR="00BE0B5B">
        <w:t xml:space="preserve">ing, og det er </w:t>
      </w:r>
      <w:r w:rsidR="00304E85">
        <w:t>Espedalen fjellgrend</w:t>
      </w:r>
      <w:r w:rsidR="00BE0B5B">
        <w:t>, men deres midler går ikke til ESLL</w:t>
      </w:r>
      <w:r w:rsidR="00304E85">
        <w:t>. Det</w:t>
      </w:r>
      <w:r w:rsidR="00BE0B5B">
        <w:t>te</w:t>
      </w:r>
      <w:r w:rsidR="00304E85">
        <w:t xml:space="preserve"> gjør at </w:t>
      </w:r>
      <w:r w:rsidR="00BE0B5B">
        <w:t>ESLL</w:t>
      </w:r>
      <w:r w:rsidR="00304E85">
        <w:t xml:space="preserve"> har en ekstra stor utfordring når det gjelder å engasjere de hytteeierne som sogner til vårt område. </w:t>
      </w:r>
      <w:r w:rsidR="00AB649F">
        <w:t>Som tallene vise</w:t>
      </w:r>
      <w:r w:rsidR="00D212B7">
        <w:t>r, er dette noe som vi bare del</w:t>
      </w:r>
      <w:r w:rsidR="00AB649F">
        <w:t xml:space="preserve">vis lykkes med. </w:t>
      </w:r>
    </w:p>
    <w:p w:rsidR="00AB649F" w:rsidRDefault="00AB649F" w:rsidP="00095A1A"/>
    <w:p w:rsidR="00AB649F" w:rsidRDefault="00AB649F" w:rsidP="00095A1A"/>
    <w:p w:rsidR="00D212B7" w:rsidRDefault="00D212B7" w:rsidP="00095A1A"/>
    <w:p w:rsidR="00D212B7" w:rsidRDefault="00D212B7" w:rsidP="00095A1A"/>
    <w:p w:rsidR="00304E85" w:rsidRPr="00BE0B5B" w:rsidRDefault="00BE0B5B" w:rsidP="00095A1A">
      <w:pPr>
        <w:rPr>
          <w:b/>
        </w:rPr>
      </w:pPr>
      <w:r>
        <w:rPr>
          <w:b/>
        </w:rPr>
        <w:lastRenderedPageBreak/>
        <w:t>Løypekjøring i andre deler av dalen</w:t>
      </w:r>
    </w:p>
    <w:p w:rsidR="00095A1A" w:rsidRDefault="00095A1A" w:rsidP="00095A1A">
      <w:r>
        <w:t>I sør faller</w:t>
      </w:r>
      <w:r w:rsidR="00BE0B5B">
        <w:t xml:space="preserve"> ansvaret for</w:t>
      </w:r>
      <w:r>
        <w:t xml:space="preserve"> løypene innenfor Sti- og løypekomiteen Gausdal Vestfjell</w:t>
      </w:r>
      <w:r w:rsidR="006A64C3">
        <w:t xml:space="preserve"> N</w:t>
      </w:r>
      <w:r>
        <w:t>ord</w:t>
      </w:r>
      <w:r w:rsidR="006A64C3">
        <w:t xml:space="preserve"> (SLK-GVN)</w:t>
      </w:r>
      <w:r>
        <w:t>.</w:t>
      </w:r>
      <w:r w:rsidR="006A64C3">
        <w:t xml:space="preserve"> Vassenden vel</w:t>
      </w:r>
      <w:r w:rsidR="00304E85">
        <w:t>, der medlemskap er frivillig,</w:t>
      </w:r>
      <w:r w:rsidR="006A64C3">
        <w:t xml:space="preserve"> har en medlemsavgift på kr. 1100 som i hovedsak går til løypekjøring i regi av SLK-GVN, samt at mange har betalt andeler (på anslagsvis 5000) i ny løypemaskin. </w:t>
      </w:r>
      <w:r w:rsidR="00BE0B5B">
        <w:t xml:space="preserve">Kjerneområdet for SLK-GVN er dekket av hytteforeningen på </w:t>
      </w:r>
      <w:proofErr w:type="spellStart"/>
      <w:r w:rsidR="00BE0B5B">
        <w:t>Roaseter</w:t>
      </w:r>
      <w:proofErr w:type="spellEnd"/>
      <w:r w:rsidR="00BE0B5B">
        <w:t xml:space="preserve">.  </w:t>
      </w:r>
      <w:r>
        <w:t>I nord (Dalseter og Ruten) ligger ansvaret hos Espedalen turløyper</w:t>
      </w:r>
      <w:r w:rsidR="006A64C3">
        <w:t xml:space="preserve">. Hyttevelforeningene i </w:t>
      </w:r>
      <w:proofErr w:type="spellStart"/>
      <w:r w:rsidR="006A64C3">
        <w:t>Dyrtjønn</w:t>
      </w:r>
      <w:proofErr w:type="spellEnd"/>
      <w:r w:rsidR="006A64C3">
        <w:t xml:space="preserve"> og </w:t>
      </w:r>
      <w:proofErr w:type="spellStart"/>
      <w:r w:rsidR="006A64C3">
        <w:t>Rytlia</w:t>
      </w:r>
      <w:proofErr w:type="spellEnd"/>
      <w:r w:rsidR="006A64C3">
        <w:t xml:space="preserve">, der medlemskap er obligatorisk, har vedtatt at medlemmene </w:t>
      </w:r>
      <w:r>
        <w:t xml:space="preserve">fra sesongen 2024 </w:t>
      </w:r>
      <w:r w:rsidR="006A64C3">
        <w:t>skal betale</w:t>
      </w:r>
      <w:r>
        <w:t xml:space="preserve"> kr. 2000 per hytte per år. </w:t>
      </w:r>
      <w:r w:rsidR="006A64C3">
        <w:t xml:space="preserve">For ett av </w:t>
      </w:r>
      <w:proofErr w:type="spellStart"/>
      <w:r w:rsidR="006A64C3">
        <w:t>hyttevelene</w:t>
      </w:r>
      <w:proofErr w:type="spellEnd"/>
      <w:r w:rsidR="006A64C3">
        <w:t xml:space="preserve"> er innbetalingen obligatorisk, for de to andre er det «bare» en moralsk forpliktelse. </w:t>
      </w:r>
    </w:p>
    <w:p w:rsidR="005909EC" w:rsidRDefault="005909EC" w:rsidP="00632138"/>
    <w:p w:rsidR="00D212B7" w:rsidRDefault="00D212B7" w:rsidP="00632138"/>
    <w:p w:rsidR="005909EC" w:rsidRDefault="005909EC" w:rsidP="00632138">
      <w:pPr>
        <w:rPr>
          <w:b/>
        </w:rPr>
      </w:pPr>
      <w:r>
        <w:rPr>
          <w:b/>
        </w:rPr>
        <w:t>Andre inntektskilder</w:t>
      </w:r>
      <w:r w:rsidR="00BE0B5B">
        <w:rPr>
          <w:b/>
        </w:rPr>
        <w:t xml:space="preserve"> for ESLL</w:t>
      </w:r>
      <w:r>
        <w:rPr>
          <w:b/>
        </w:rPr>
        <w:t>:</w:t>
      </w:r>
    </w:p>
    <w:p w:rsidR="00F651F1" w:rsidRDefault="00F651F1" w:rsidP="00632138">
      <w:r>
        <w:t>I tillegg til medlemskontingenten får ESLL støtte fra Gausdal og Sør-Fron kommuner.</w:t>
      </w:r>
    </w:p>
    <w:p w:rsidR="00F651F1" w:rsidRDefault="00F651F1" w:rsidP="00632138">
      <w:r>
        <w:t>2019 var det første året med støtte fra Sør-Fron kommune, med kr. 10 000. For</w:t>
      </w:r>
      <w:r w:rsidR="00D16652">
        <w:t xml:space="preserve"> 2022</w:t>
      </w:r>
      <w:r>
        <w:t xml:space="preserve"> økte denne støtten med 5000. Vi har i brev til kommunen bedt om at støtten økes ytterligere</w:t>
      </w:r>
      <w:r w:rsidR="00DC072D">
        <w:t xml:space="preserve"> våren 2024</w:t>
      </w:r>
      <w:r>
        <w:t xml:space="preserve">, og vil, dersom </w:t>
      </w:r>
      <w:r w:rsidR="00DC072D">
        <w:t>vi ikke får noen økning</w:t>
      </w:r>
      <w:r>
        <w:t xml:space="preserve">, følge opp dette til høsten. </w:t>
      </w:r>
    </w:p>
    <w:p w:rsidR="005909EC" w:rsidRDefault="00F651F1" w:rsidP="00632138">
      <w:r>
        <w:t>Støtten fra Gausdal kommune</w:t>
      </w:r>
      <w:r w:rsidR="00E417A6">
        <w:t xml:space="preserve"> var kr. 50 000</w:t>
      </w:r>
      <w:r w:rsidR="00DC072D" w:rsidRPr="00DC072D">
        <w:t xml:space="preserve"> </w:t>
      </w:r>
      <w:r w:rsidR="00DC072D">
        <w:t>i 2019</w:t>
      </w:r>
      <w:r w:rsidR="00E417A6">
        <w:t>. Fra 202</w:t>
      </w:r>
      <w:r w:rsidR="00D16652">
        <w:t>1</w:t>
      </w:r>
      <w:r>
        <w:t xml:space="preserve"> </w:t>
      </w:r>
      <w:r w:rsidR="00E417A6">
        <w:t xml:space="preserve">var støtten nedfelt i treårige partnerskapsavtaler mellom kommunen og ESLL. Den </w:t>
      </w:r>
      <w:r>
        <w:t>økte så til kr. 55 000 i</w:t>
      </w:r>
      <w:r w:rsidR="00DC072D">
        <w:t xml:space="preserve"> avtalen fra 2021 -</w:t>
      </w:r>
      <w:r w:rsidR="00E417A6">
        <w:t>2023</w:t>
      </w:r>
      <w:r>
        <w:t xml:space="preserve">, og til </w:t>
      </w:r>
      <w:r w:rsidR="00E417A6">
        <w:t xml:space="preserve">kr. 66 000 i avtalen fra 2024-2026. </w:t>
      </w:r>
      <w:r>
        <w:t xml:space="preserve"> </w:t>
      </w:r>
    </w:p>
    <w:p w:rsidR="00BE0B5B" w:rsidRDefault="00BE0B5B" w:rsidP="00632138"/>
    <w:p w:rsidR="00A57643" w:rsidRDefault="00A57643" w:rsidP="00632138">
      <w:r>
        <w:t>Utvikling av inntekter for ESLL:</w:t>
      </w:r>
    </w:p>
    <w:p w:rsidR="00BE0B5B" w:rsidRDefault="00BE0B5B" w:rsidP="0063213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57643" w:rsidTr="00A57643">
        <w:tc>
          <w:tcPr>
            <w:tcW w:w="1510" w:type="dxa"/>
          </w:tcPr>
          <w:p w:rsidR="00A57643" w:rsidRDefault="00A57643" w:rsidP="00632138"/>
        </w:tc>
        <w:tc>
          <w:tcPr>
            <w:tcW w:w="1510" w:type="dxa"/>
          </w:tcPr>
          <w:p w:rsidR="00A57643" w:rsidRDefault="00A57643" w:rsidP="00632138">
            <w:r>
              <w:t>2019</w:t>
            </w:r>
          </w:p>
        </w:tc>
        <w:tc>
          <w:tcPr>
            <w:tcW w:w="1510" w:type="dxa"/>
          </w:tcPr>
          <w:p w:rsidR="00A57643" w:rsidRDefault="00A57643" w:rsidP="00632138">
            <w:r>
              <w:t>2021</w:t>
            </w:r>
          </w:p>
        </w:tc>
        <w:tc>
          <w:tcPr>
            <w:tcW w:w="1510" w:type="dxa"/>
          </w:tcPr>
          <w:p w:rsidR="00A57643" w:rsidRDefault="00A57643" w:rsidP="00632138">
            <w:r>
              <w:t>2024</w:t>
            </w:r>
          </w:p>
        </w:tc>
        <w:tc>
          <w:tcPr>
            <w:tcW w:w="1511" w:type="dxa"/>
          </w:tcPr>
          <w:p w:rsidR="00A57643" w:rsidRDefault="00A57643" w:rsidP="00632138">
            <w:r w:rsidRPr="00A57643">
              <w:t>Økning %</w:t>
            </w:r>
            <w:r>
              <w:t xml:space="preserve"> 2019-2024</w:t>
            </w:r>
          </w:p>
        </w:tc>
        <w:tc>
          <w:tcPr>
            <w:tcW w:w="1511" w:type="dxa"/>
          </w:tcPr>
          <w:p w:rsidR="00A57643" w:rsidRDefault="00A57643" w:rsidP="00632138"/>
        </w:tc>
      </w:tr>
      <w:tr w:rsidR="00A57643" w:rsidTr="00A57643">
        <w:tc>
          <w:tcPr>
            <w:tcW w:w="1510" w:type="dxa"/>
          </w:tcPr>
          <w:p w:rsidR="00A57643" w:rsidRDefault="00A57643" w:rsidP="00632138">
            <w:r>
              <w:t>Kontingent</w:t>
            </w:r>
          </w:p>
        </w:tc>
        <w:tc>
          <w:tcPr>
            <w:tcW w:w="1510" w:type="dxa"/>
          </w:tcPr>
          <w:p w:rsidR="00A57643" w:rsidRDefault="00D16652" w:rsidP="00632138">
            <w:r>
              <w:t>72 600</w:t>
            </w:r>
          </w:p>
        </w:tc>
        <w:tc>
          <w:tcPr>
            <w:tcW w:w="1510" w:type="dxa"/>
          </w:tcPr>
          <w:p w:rsidR="00A57643" w:rsidRDefault="00D16652" w:rsidP="00632138">
            <w:r>
              <w:t>83 000</w:t>
            </w:r>
          </w:p>
        </w:tc>
        <w:tc>
          <w:tcPr>
            <w:tcW w:w="1510" w:type="dxa"/>
          </w:tcPr>
          <w:p w:rsidR="00A57643" w:rsidRDefault="00267155" w:rsidP="00632138">
            <w:r>
              <w:t>75</w:t>
            </w:r>
            <w:r w:rsidR="00D16652">
              <w:t> 500*</w:t>
            </w:r>
          </w:p>
        </w:tc>
        <w:tc>
          <w:tcPr>
            <w:tcW w:w="1511" w:type="dxa"/>
          </w:tcPr>
          <w:p w:rsidR="00A57643" w:rsidRDefault="00D16652" w:rsidP="00632138">
            <w:r>
              <w:t xml:space="preserve"> -</w:t>
            </w:r>
          </w:p>
        </w:tc>
        <w:tc>
          <w:tcPr>
            <w:tcW w:w="1511" w:type="dxa"/>
          </w:tcPr>
          <w:p w:rsidR="00A57643" w:rsidRDefault="00A57643" w:rsidP="00632138"/>
        </w:tc>
      </w:tr>
      <w:tr w:rsidR="00A57643" w:rsidTr="00A57643">
        <w:tc>
          <w:tcPr>
            <w:tcW w:w="1510" w:type="dxa"/>
          </w:tcPr>
          <w:p w:rsidR="00A57643" w:rsidRDefault="00A57643" w:rsidP="00632138">
            <w:r>
              <w:t>Sør-Fron kommune</w:t>
            </w:r>
          </w:p>
        </w:tc>
        <w:tc>
          <w:tcPr>
            <w:tcW w:w="1510" w:type="dxa"/>
          </w:tcPr>
          <w:p w:rsidR="00A57643" w:rsidRDefault="00A57643" w:rsidP="00632138">
            <w:r>
              <w:t>10 000</w:t>
            </w:r>
          </w:p>
        </w:tc>
        <w:tc>
          <w:tcPr>
            <w:tcW w:w="1510" w:type="dxa"/>
          </w:tcPr>
          <w:p w:rsidR="00A57643" w:rsidRDefault="00D16652" w:rsidP="00632138">
            <w:r>
              <w:t>10</w:t>
            </w:r>
            <w:r w:rsidR="00A57643">
              <w:t xml:space="preserve"> 000</w:t>
            </w:r>
          </w:p>
        </w:tc>
        <w:tc>
          <w:tcPr>
            <w:tcW w:w="1510" w:type="dxa"/>
          </w:tcPr>
          <w:p w:rsidR="00A57643" w:rsidRDefault="00A57643" w:rsidP="00632138">
            <w:r>
              <w:t>15 000</w:t>
            </w:r>
          </w:p>
        </w:tc>
        <w:tc>
          <w:tcPr>
            <w:tcW w:w="1511" w:type="dxa"/>
          </w:tcPr>
          <w:p w:rsidR="00A57643" w:rsidRDefault="00A57643" w:rsidP="00632138">
            <w:r>
              <w:t>50 %</w:t>
            </w:r>
          </w:p>
        </w:tc>
        <w:tc>
          <w:tcPr>
            <w:tcW w:w="1511" w:type="dxa"/>
          </w:tcPr>
          <w:p w:rsidR="00A57643" w:rsidRDefault="00A57643" w:rsidP="00632138"/>
        </w:tc>
      </w:tr>
      <w:tr w:rsidR="00A57643" w:rsidTr="00A57643">
        <w:tc>
          <w:tcPr>
            <w:tcW w:w="1510" w:type="dxa"/>
          </w:tcPr>
          <w:p w:rsidR="00A57643" w:rsidRDefault="00A57643" w:rsidP="00632138">
            <w:r>
              <w:t>Gausdal kommune</w:t>
            </w:r>
          </w:p>
        </w:tc>
        <w:tc>
          <w:tcPr>
            <w:tcW w:w="1510" w:type="dxa"/>
          </w:tcPr>
          <w:p w:rsidR="00A57643" w:rsidRDefault="003E6793" w:rsidP="00632138">
            <w:r>
              <w:t>4</w:t>
            </w:r>
            <w:r w:rsidR="00A57643">
              <w:t>0 000</w:t>
            </w:r>
          </w:p>
        </w:tc>
        <w:tc>
          <w:tcPr>
            <w:tcW w:w="1510" w:type="dxa"/>
          </w:tcPr>
          <w:p w:rsidR="00A57643" w:rsidRDefault="00A57643" w:rsidP="00632138">
            <w:r>
              <w:t>55 000</w:t>
            </w:r>
          </w:p>
        </w:tc>
        <w:tc>
          <w:tcPr>
            <w:tcW w:w="1510" w:type="dxa"/>
          </w:tcPr>
          <w:p w:rsidR="00A57643" w:rsidRDefault="00A57643" w:rsidP="00632138">
            <w:r>
              <w:t>66 000</w:t>
            </w:r>
          </w:p>
        </w:tc>
        <w:tc>
          <w:tcPr>
            <w:tcW w:w="1511" w:type="dxa"/>
          </w:tcPr>
          <w:p w:rsidR="00A57643" w:rsidRDefault="00902254" w:rsidP="00632138">
            <w:r>
              <w:t>66</w:t>
            </w:r>
            <w:r w:rsidR="00A57643">
              <w:t xml:space="preserve"> %</w:t>
            </w:r>
          </w:p>
        </w:tc>
        <w:tc>
          <w:tcPr>
            <w:tcW w:w="1511" w:type="dxa"/>
          </w:tcPr>
          <w:p w:rsidR="00A57643" w:rsidRDefault="00A57643" w:rsidP="00632138"/>
        </w:tc>
      </w:tr>
      <w:tr w:rsidR="00A57643" w:rsidTr="00A57643">
        <w:tc>
          <w:tcPr>
            <w:tcW w:w="1510" w:type="dxa"/>
          </w:tcPr>
          <w:p w:rsidR="00A57643" w:rsidRDefault="00A57643" w:rsidP="00632138">
            <w:r>
              <w:t xml:space="preserve">Totalt </w:t>
            </w:r>
          </w:p>
        </w:tc>
        <w:tc>
          <w:tcPr>
            <w:tcW w:w="1510" w:type="dxa"/>
          </w:tcPr>
          <w:p w:rsidR="00A57643" w:rsidRDefault="003E6793" w:rsidP="00632138">
            <w:r>
              <w:t>122 600</w:t>
            </w:r>
          </w:p>
        </w:tc>
        <w:tc>
          <w:tcPr>
            <w:tcW w:w="1510" w:type="dxa"/>
          </w:tcPr>
          <w:p w:rsidR="00A57643" w:rsidRDefault="003E6793" w:rsidP="00632138">
            <w:r>
              <w:t>148 000</w:t>
            </w:r>
          </w:p>
        </w:tc>
        <w:tc>
          <w:tcPr>
            <w:tcW w:w="1510" w:type="dxa"/>
          </w:tcPr>
          <w:p w:rsidR="00A57643" w:rsidRDefault="003E6793" w:rsidP="00632138">
            <w:r>
              <w:t>151 000</w:t>
            </w:r>
          </w:p>
        </w:tc>
        <w:tc>
          <w:tcPr>
            <w:tcW w:w="1511" w:type="dxa"/>
          </w:tcPr>
          <w:p w:rsidR="00A57643" w:rsidRDefault="00C61AB6" w:rsidP="00632138">
            <w:r>
              <w:t>23 %</w:t>
            </w:r>
          </w:p>
        </w:tc>
        <w:tc>
          <w:tcPr>
            <w:tcW w:w="1511" w:type="dxa"/>
          </w:tcPr>
          <w:p w:rsidR="00A57643" w:rsidRDefault="00A57643" w:rsidP="00632138"/>
        </w:tc>
      </w:tr>
    </w:tbl>
    <w:p w:rsidR="00BE0B5B" w:rsidRDefault="00BE0B5B" w:rsidP="00632138"/>
    <w:p w:rsidR="00F651F1" w:rsidRPr="005909EC" w:rsidRDefault="00267155" w:rsidP="00632138">
      <w:r>
        <w:t>*per 23</w:t>
      </w:r>
      <w:r w:rsidR="00D16652">
        <w:t>.februar 2024.</w:t>
      </w:r>
    </w:p>
    <w:p w:rsidR="00632138" w:rsidRDefault="00632138" w:rsidP="00632138"/>
    <w:p w:rsidR="00632138" w:rsidRDefault="00632138" w:rsidP="00632138"/>
    <w:p w:rsidR="00632138" w:rsidRPr="00632138" w:rsidRDefault="00632138" w:rsidP="00632138">
      <w:pPr>
        <w:rPr>
          <w:b/>
        </w:rPr>
      </w:pPr>
      <w:r w:rsidRPr="00632138">
        <w:rPr>
          <w:b/>
        </w:rPr>
        <w:t>Om kontingenten:</w:t>
      </w:r>
    </w:p>
    <w:p w:rsidR="00632138" w:rsidRDefault="00632138" w:rsidP="00632138">
      <w:r>
        <w:t xml:space="preserve">Medlemskontingenten i ESLL betales for hver enkelt husstand/hytte/turistbedrift innen </w:t>
      </w:r>
      <w:r w:rsidR="00D16652">
        <w:t>vårt område</w:t>
      </w:r>
      <w:r>
        <w:t xml:space="preserve">, og gir en stemme på årsmøtet. </w:t>
      </w:r>
      <w:r w:rsidR="005909EC">
        <w:t>En husstand/hytte kan betale flere ganger kontingenten, og får da tilsvarende flere stemmer på årsmøtet.</w:t>
      </w:r>
    </w:p>
    <w:p w:rsidR="00632138" w:rsidRDefault="00632138" w:rsidP="00632138"/>
    <w:p w:rsidR="005909EC" w:rsidRPr="005909EC" w:rsidRDefault="00632138" w:rsidP="005909EC">
      <w:r>
        <w:t xml:space="preserve">Kontingenten er omtalt i vedtektene § 6. Her heter det: </w:t>
      </w:r>
      <w:r w:rsidR="005909EC" w:rsidRPr="005909EC">
        <w:t>Kontingenten fastsettes av årsmøtet og betales forskuddsvis.</w:t>
      </w:r>
    </w:p>
    <w:p w:rsidR="005909EC" w:rsidRPr="00632138" w:rsidRDefault="005909EC" w:rsidP="00632138"/>
    <w:sectPr w:rsidR="005909EC" w:rsidRPr="00632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38"/>
    <w:rsid w:val="00095A1A"/>
    <w:rsid w:val="000D26CC"/>
    <w:rsid w:val="00267155"/>
    <w:rsid w:val="00304E85"/>
    <w:rsid w:val="00320C4F"/>
    <w:rsid w:val="003E6793"/>
    <w:rsid w:val="005909EC"/>
    <w:rsid w:val="00632138"/>
    <w:rsid w:val="006A64C3"/>
    <w:rsid w:val="008B2699"/>
    <w:rsid w:val="00902254"/>
    <w:rsid w:val="00A57643"/>
    <w:rsid w:val="00AB649F"/>
    <w:rsid w:val="00BE0B5B"/>
    <w:rsid w:val="00C252C8"/>
    <w:rsid w:val="00C56A76"/>
    <w:rsid w:val="00C61AB6"/>
    <w:rsid w:val="00D16652"/>
    <w:rsid w:val="00D212B7"/>
    <w:rsid w:val="00D939BB"/>
    <w:rsid w:val="00DC072D"/>
    <w:rsid w:val="00E417A6"/>
    <w:rsid w:val="00F6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CFDD6-57D0-4842-9F8E-1C077C55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2C8"/>
    <w:pPr>
      <w:spacing w:after="0" w:line="276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26C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26CC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26CC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26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D2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D26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26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26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26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26C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D2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26C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26C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D26C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0D26C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D26C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D26C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D26C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D26CC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0D26C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0D26C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D26C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D26C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0D26CC"/>
    <w:rPr>
      <w:b/>
      <w:bCs/>
    </w:rPr>
  </w:style>
  <w:style w:type="character" w:styleId="Utheving">
    <w:name w:val="Emphasis"/>
    <w:basedOn w:val="Standardskriftforavsnitt"/>
    <w:uiPriority w:val="20"/>
    <w:qFormat/>
    <w:rsid w:val="000D26CC"/>
    <w:rPr>
      <w:i/>
      <w:iCs/>
    </w:rPr>
  </w:style>
  <w:style w:type="paragraph" w:styleId="Ingenmellomrom">
    <w:name w:val="No Spacing"/>
    <w:uiPriority w:val="1"/>
    <w:qFormat/>
    <w:rsid w:val="000D26C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0D26C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0D26CC"/>
    <w:pPr>
      <w:spacing w:before="120"/>
      <w:ind w:left="720"/>
    </w:pPr>
    <w:rPr>
      <w:color w:val="44546A" w:themeColor="text2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0D26CC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D26C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D26C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0D26CC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0D26CC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D26C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0D26CC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0D26CC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D26CC"/>
    <w:pPr>
      <w:outlineLvl w:val="9"/>
    </w:pPr>
  </w:style>
  <w:style w:type="table" w:styleId="Tabellrutenett">
    <w:name w:val="Table Grid"/>
    <w:basedOn w:val="Vanligtabell"/>
    <w:uiPriority w:val="39"/>
    <w:rsid w:val="00A5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714</Words>
  <Characters>3577</Characters>
  <Application>Microsoft Office Word</Application>
  <DocSecurity>0</DocSecurity>
  <Lines>109</Lines>
  <Paragraphs>44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Heving av medlemskontingenten i Espedalen sti- og løypelag</vt:lpstr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Weidemann</dc:creator>
  <cp:keywords/>
  <dc:description/>
  <cp:lastModifiedBy>Jana Weidemann</cp:lastModifiedBy>
  <cp:revision>5</cp:revision>
  <dcterms:created xsi:type="dcterms:W3CDTF">2024-02-23T06:40:00Z</dcterms:created>
  <dcterms:modified xsi:type="dcterms:W3CDTF">2024-02-26T10:29:00Z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3fc52080-9de7-4963-8404-c5dff596380b</vt:lpwstr>
  </property>
</Properties>
</file>